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7973422E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070F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7. oktoober</w:t>
            </w:r>
            <w:r w:rsidR="00C1267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356420" w14:paraId="0F608EB9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356420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C11E29" w14:textId="35D7FE96" w:rsidR="00BD3A0F" w:rsidRPr="00356420" w:rsidRDefault="00FF0A26" w:rsidP="007A3C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5642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356420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356420" w14:paraId="457934B5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356420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1185C7" w14:textId="08F1C2C0" w:rsidR="00645B70" w:rsidRPr="00356420" w:rsidRDefault="00645B70" w:rsidP="0048147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356420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356420" w14:paraId="7888315C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232F32" w14:textId="77777777" w:rsidR="003650CA" w:rsidRPr="00356420" w:rsidRDefault="003650CA" w:rsidP="003650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DDBE2FB" w14:textId="6D2F549F" w:rsidR="0059708F" w:rsidRPr="00356420" w:rsidRDefault="003650CA" w:rsidP="00022E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Krediidiasutuste järelevalve, EKP-le antud järelevalvealased eriülesanded, usaldatavusnõuete kindlaksmääramine, </w:t>
            </w:r>
            <w:proofErr w:type="spellStart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15A3009" w14:textId="1642F3D1" w:rsidR="00892C81" w:rsidRPr="00356420" w:rsidRDefault="003650CA" w:rsidP="00022E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C-552/24 P: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Confédération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nationale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du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Crédit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mutuel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 jt 13. augustil 2024 esitatud apellatsioonkaebus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(kolmas koda laiendatud koosseisus) 5. juuni 2024. aasta otsuse peale kohtuasjas T-189/22: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Confédération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nationale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du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Crédit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mutuel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EKP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604A6869" w:rsidR="00176C23" w:rsidRPr="00356420" w:rsidRDefault="00C12679" w:rsidP="00022EF0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="003650CA"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C/2024/5791</w:t>
            </w:r>
          </w:p>
        </w:tc>
      </w:tr>
      <w:tr w:rsidR="00481475" w:rsidRPr="00356420" w14:paraId="139A7460" w14:textId="77777777" w:rsidTr="00177DD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8F5205" w14:textId="77777777" w:rsidR="00481475" w:rsidRPr="00356420" w:rsidRDefault="00481475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4A6083" w14:textId="77777777" w:rsidR="00481475" w:rsidRPr="00356420" w:rsidRDefault="00481475" w:rsidP="00C126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653B23" w14:textId="77777777" w:rsidR="00481475" w:rsidRPr="00356420" w:rsidRDefault="00481475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74724" w:rsidRPr="00356420" w14:paraId="2C1B8D56" w14:textId="77777777" w:rsidTr="00177DDF">
        <w:trPr>
          <w:trHeight w:val="1078"/>
        </w:trPr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B34ED1" w14:textId="4B4BF903" w:rsidR="0094653A" w:rsidRPr="00356420" w:rsidRDefault="003650CA" w:rsidP="0094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4E383881" w14:textId="77777777" w:rsidR="001B11E5" w:rsidRPr="00356420" w:rsidRDefault="003650CA" w:rsidP="001B11E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Määrus (EL) 2021/241, Nõukogu rakendusotsus Poola taaste‑ ja vastupidavuskavale antud hinnangu heakskiitmise kohta, otsese puutumuse puudumine, vastuvõetamatus, </w:t>
            </w:r>
            <w:proofErr w:type="spellStart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apellatsioon-kaebus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  <w:p w14:paraId="3A94F207" w14:textId="281BD146" w:rsidR="003650CA" w:rsidRPr="00356420" w:rsidRDefault="003650CA" w:rsidP="001B11E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E3A2F3" w14:textId="77777777" w:rsidR="00877A5F" w:rsidRPr="00356420" w:rsidRDefault="003650CA" w:rsidP="003650CA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C-555/24 P: Magistrats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européens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pour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la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démocratie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et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les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libertés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Medel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), International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Association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of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Judges’i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Association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of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European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Administrative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Judges’i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Stichting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Rechters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voor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Rechtersi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14. augustil 2024 esitatud apellatsioonkaebus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(suurkoda) 4. juuni 2024. aasta määruse peale kohtuasjas T-530/22: JT,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Medel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nõukogu</w:t>
              </w:r>
            </w:hyperlink>
          </w:p>
          <w:p w14:paraId="02A5AA71" w14:textId="77777777" w:rsidR="00712713" w:rsidRPr="00356420" w:rsidRDefault="00712713" w:rsidP="0071271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420">
              <w:rPr>
                <w:rFonts w:ascii="Times New Roman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7F15BEFF" w14:textId="4EBB4DD4" w:rsidR="00712713" w:rsidRPr="00356420" w:rsidRDefault="00712713" w:rsidP="003650CA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D2F48" w14:textId="5DA4C42D" w:rsidR="00E74724" w:rsidRPr="00356420" w:rsidRDefault="003650CA" w:rsidP="00C002D9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C/2024/5792</w:t>
            </w:r>
          </w:p>
        </w:tc>
      </w:tr>
      <w:tr w:rsidR="00265F01" w:rsidRPr="00356420" w14:paraId="19E54447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E3333D4" w14:textId="2FF11FC6" w:rsidR="00265F01" w:rsidRPr="00356420" w:rsidRDefault="00136B7E" w:rsidP="00750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</w:t>
            </w:r>
            <w:r w:rsidR="00265F01"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</w:p>
          <w:p w14:paraId="5EA13FE3" w14:textId="04671389" w:rsidR="00265F01" w:rsidRPr="00356420" w:rsidRDefault="00136B7E" w:rsidP="001B0AC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järelevalveasutuste apellatsiooninõukogu otsus nr BoA-O-2024-03, otsuse avaldamine, tühistamishagi.</w:t>
            </w:r>
          </w:p>
          <w:p w14:paraId="1D5839B7" w14:textId="7684C5B2" w:rsidR="001B0AC9" w:rsidRPr="00356420" w:rsidRDefault="001B0AC9" w:rsidP="001B0AC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AAD1F5" w14:textId="05A3853A" w:rsidR="00265F01" w:rsidRPr="00356420" w:rsidRDefault="00136B7E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T-367/24: 18. juulil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Evroins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inshurans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grup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EIOPA</w:t>
              </w:r>
            </w:hyperlink>
          </w:p>
          <w:p w14:paraId="204591DA" w14:textId="77777777" w:rsidR="00265F01" w:rsidRPr="00356420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F9169D" w14:textId="12F4B8BA" w:rsidR="00265F01" w:rsidRPr="00356420" w:rsidRDefault="00136B7E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C/2024/5826</w:t>
            </w:r>
          </w:p>
        </w:tc>
      </w:tr>
      <w:tr w:rsidR="00265F01" w:rsidRPr="00356420" w14:paraId="2CE8D54A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C2AFA6" w14:textId="77777777" w:rsidR="0080152B" w:rsidRPr="00356420" w:rsidRDefault="00110C94" w:rsidP="00110C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SOM</w:t>
            </w:r>
          </w:p>
          <w:p w14:paraId="3F729390" w14:textId="320769B3" w:rsidR="00110C94" w:rsidRPr="00356420" w:rsidRDefault="00110C94" w:rsidP="00110C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Rakendusmäärus (EL) 2023/2660, toimeaine </w:t>
            </w:r>
            <w:proofErr w:type="spellStart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glüfosaadi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heakskiidu pikendamine,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93DDFF" w14:textId="4AA25A78" w:rsidR="00265F01" w:rsidRPr="00356420" w:rsidRDefault="00110C94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T-399/24: 1.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Collectif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maires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anti-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pesticides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  <w:p w14:paraId="28B83B95" w14:textId="77777777" w:rsidR="00265F01" w:rsidRPr="00356420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D28298" w14:textId="55FC22CB" w:rsidR="00265F01" w:rsidRPr="00356420" w:rsidRDefault="00110C94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C/2024/5828</w:t>
            </w:r>
          </w:p>
        </w:tc>
      </w:tr>
      <w:tr w:rsidR="00265F01" w:rsidRPr="00356420" w14:paraId="7E19D0D0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C45479" w14:textId="77777777" w:rsidR="00110C94" w:rsidRPr="00356420" w:rsidRDefault="00110C94" w:rsidP="00110C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265C513" w14:textId="05E96EF1" w:rsidR="00265F01" w:rsidRPr="00356420" w:rsidRDefault="00110C94" w:rsidP="00110C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461B47" w14:textId="3821B20C" w:rsidR="00265F01" w:rsidRPr="00356420" w:rsidRDefault="00110C94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T-401/24: 1.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BDSwiss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BDSwiss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4D916788" w14:textId="77777777" w:rsidR="00265F01" w:rsidRPr="00356420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3DA618" w14:textId="3D4184A1" w:rsidR="00265F01" w:rsidRPr="00356420" w:rsidRDefault="00110C94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C/2024/5829</w:t>
            </w:r>
          </w:p>
        </w:tc>
      </w:tr>
      <w:tr w:rsidR="00265F01" w:rsidRPr="00356420" w14:paraId="424DBF19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842908" w14:textId="77777777" w:rsidR="0080152B" w:rsidRPr="00356420" w:rsidRDefault="0080152B" w:rsidP="0080152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lastRenderedPageBreak/>
              <w:t>VM, JUM, RAM, SIM</w:t>
            </w:r>
          </w:p>
          <w:p w14:paraId="1072796F" w14:textId="77777777" w:rsidR="00265F01" w:rsidRPr="00356420" w:rsidRDefault="0080152B" w:rsidP="0080152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olukorraga Süürias, tühistamishagi.</w:t>
            </w:r>
          </w:p>
          <w:p w14:paraId="4A971280" w14:textId="7C061577" w:rsidR="00835727" w:rsidRPr="00356420" w:rsidRDefault="00835727" w:rsidP="0080152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AD9244" w14:textId="34392A1C" w:rsidR="00265F01" w:rsidRPr="00356420" w:rsidRDefault="00835727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T-403/24: 2.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Anbouba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3DD10568" w14:textId="77777777" w:rsidR="00265F01" w:rsidRPr="00356420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C9444B" w14:textId="09EA492E" w:rsidR="00265F01" w:rsidRPr="00356420" w:rsidRDefault="00835727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C/2024/5830</w:t>
            </w:r>
          </w:p>
        </w:tc>
      </w:tr>
      <w:tr w:rsidR="00265F01" w:rsidRPr="00356420" w14:paraId="77E3A4AE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BE24D2" w14:textId="77777777" w:rsidR="00BC24B1" w:rsidRPr="00356420" w:rsidRDefault="00BC24B1" w:rsidP="00BC24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24AB7349" w14:textId="77777777" w:rsidR="00265F01" w:rsidRPr="00356420" w:rsidRDefault="00BC24B1" w:rsidP="00BC24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olukorraga Süürias, tühistamishagi.</w:t>
            </w:r>
          </w:p>
          <w:p w14:paraId="5B4010A4" w14:textId="57C7BD06" w:rsidR="00BC24B1" w:rsidRPr="00356420" w:rsidRDefault="00BC24B1" w:rsidP="00BC24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CB4296" w14:textId="78EE25AD" w:rsidR="00265F01" w:rsidRPr="00356420" w:rsidRDefault="00835727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T-405/24: 5. augustil 2024 esitatud hagi – Al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Dibs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67C65A9E" w14:textId="77777777" w:rsidR="00265F01" w:rsidRPr="00356420" w:rsidRDefault="00265F0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F8F4F57" w14:textId="2844C0B2" w:rsidR="00265F01" w:rsidRPr="00356420" w:rsidRDefault="00835727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C/2024/5831</w:t>
            </w:r>
          </w:p>
        </w:tc>
      </w:tr>
      <w:tr w:rsidR="00BC24B1" w:rsidRPr="00356420" w14:paraId="73F02B59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FE2E501" w14:textId="17B05F6D" w:rsidR="00BC24B1" w:rsidRPr="00356420" w:rsidRDefault="00BC24B1" w:rsidP="00BC24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75DCF792" w14:textId="77777777" w:rsidR="00BC24B1" w:rsidRPr="00356420" w:rsidRDefault="00BC24B1" w:rsidP="00BC24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olukorraga Süürias, tühistamishagi.</w:t>
            </w:r>
          </w:p>
          <w:p w14:paraId="536769CA" w14:textId="644994C3" w:rsidR="00BC24B1" w:rsidRPr="00356420" w:rsidRDefault="00BC24B1" w:rsidP="00BC24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524532" w14:textId="2A806B7F" w:rsidR="00BC24B1" w:rsidRPr="00356420" w:rsidRDefault="00835727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T-412/24: 6.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Makhlouf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0C356EB3" w14:textId="77777777" w:rsidR="00BC24B1" w:rsidRPr="00356420" w:rsidRDefault="00BC24B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E49334" w14:textId="0DEE27DF" w:rsidR="00BC24B1" w:rsidRPr="00356420" w:rsidRDefault="00835727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C/2024/5832</w:t>
            </w:r>
          </w:p>
        </w:tc>
      </w:tr>
      <w:tr w:rsidR="00BC24B1" w:rsidRPr="00356420" w14:paraId="5731D8D5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AEF0A2" w14:textId="77777777" w:rsidR="00BC24B1" w:rsidRPr="00356420" w:rsidRDefault="00BC24B1" w:rsidP="00BC24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605257E2" w14:textId="77777777" w:rsidR="00BC24B1" w:rsidRPr="00356420" w:rsidRDefault="00BC24B1" w:rsidP="00BC24B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olukorraga Süürias, tühistamishagi.</w:t>
            </w:r>
          </w:p>
          <w:p w14:paraId="45913F81" w14:textId="11AC9292" w:rsidR="00BC24B1" w:rsidRPr="00356420" w:rsidRDefault="00BC24B1" w:rsidP="00750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3E0D94" w14:textId="02DE5C00" w:rsidR="00BC24B1" w:rsidRPr="00356420" w:rsidRDefault="00835727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T-413/24: 7.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Shammout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179BDF2E" w14:textId="77777777" w:rsidR="00BC24B1" w:rsidRPr="00356420" w:rsidRDefault="00BC24B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CD974A" w14:textId="1FB08E6D" w:rsidR="00BC24B1" w:rsidRPr="00356420" w:rsidRDefault="00835727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C/2024/5833</w:t>
            </w:r>
          </w:p>
        </w:tc>
      </w:tr>
      <w:tr w:rsidR="00BC24B1" w:rsidRPr="00356420" w14:paraId="0B829858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764F5B" w14:textId="77777777" w:rsidR="00835727" w:rsidRPr="00356420" w:rsidRDefault="00835727" w:rsidP="008357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23CF2FB6" w14:textId="77777777" w:rsidR="00835727" w:rsidRPr="00356420" w:rsidRDefault="00835727" w:rsidP="008357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olukorraga Süürias, tühistamishagi.</w:t>
            </w:r>
          </w:p>
          <w:p w14:paraId="0D7E78FF" w14:textId="7F3C5947" w:rsidR="000E7B4B" w:rsidRPr="00356420" w:rsidRDefault="000E7B4B" w:rsidP="0083572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F491B3" w14:textId="40B406AE" w:rsidR="00BC24B1" w:rsidRPr="00356420" w:rsidRDefault="00835727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T-415/24: 7.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Cham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Wings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Airlines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0C864950" w14:textId="77777777" w:rsidR="00BC24B1" w:rsidRPr="00356420" w:rsidRDefault="00BC24B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B727E7" w14:textId="25638237" w:rsidR="00BC24B1" w:rsidRPr="00356420" w:rsidRDefault="00835727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C/2024/5834</w:t>
            </w:r>
          </w:p>
        </w:tc>
      </w:tr>
      <w:tr w:rsidR="00BC24B1" w:rsidRPr="00356420" w14:paraId="425837B9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5DF649" w14:textId="77777777" w:rsidR="00F727EE" w:rsidRPr="00356420" w:rsidRDefault="00F727EE" w:rsidP="00F727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A121265" w14:textId="20BE17E0" w:rsidR="00440F2D" w:rsidRPr="00356420" w:rsidRDefault="00F727EE" w:rsidP="00F727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586D35" w14:textId="152A4E68" w:rsidR="00BC24B1" w:rsidRPr="00356420" w:rsidRDefault="00F727EE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T-418/24: 12.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Biogena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ACRAF (BIOGENA MOMENTS)</w:t>
              </w:r>
            </w:hyperlink>
          </w:p>
          <w:p w14:paraId="65624CCA" w14:textId="77777777" w:rsidR="00BC24B1" w:rsidRPr="00356420" w:rsidRDefault="00BC24B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28C69D" w14:textId="20E3228A" w:rsidR="00BC24B1" w:rsidRPr="00356420" w:rsidRDefault="00F727EE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C/2024/5836</w:t>
            </w:r>
          </w:p>
        </w:tc>
      </w:tr>
      <w:tr w:rsidR="00BC24B1" w:rsidRPr="00356420" w14:paraId="378EB9E2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71BE10" w14:textId="30DC99D8" w:rsidR="00AA354E" w:rsidRPr="00356420" w:rsidRDefault="00AA354E" w:rsidP="00AA35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JUM</w:t>
            </w:r>
            <w:r w:rsidR="00FC4409"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RAM, SIM</w:t>
            </w:r>
          </w:p>
          <w:p w14:paraId="7711914C" w14:textId="4EA21A4A" w:rsidR="00AA354E" w:rsidRPr="00356420" w:rsidRDefault="00AA354E" w:rsidP="00F727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</w:t>
            </w: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piirava</w:t>
            </w:r>
            <w:r w:rsidR="00F727EE"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 meetmeid seoses Venemaa tegevusega, mis destabiliseerib olukorda Ukraina</w:t>
            </w: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s, tühistamishagi.</w:t>
            </w:r>
          </w:p>
          <w:p w14:paraId="4DDFFFC5" w14:textId="06229096" w:rsidR="00AA354E" w:rsidRPr="00356420" w:rsidRDefault="00AA354E" w:rsidP="00F727E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640927" w14:textId="460CA914" w:rsidR="00BC24B1" w:rsidRPr="00356420" w:rsidRDefault="00F727EE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T-430/24: 16.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Schefler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09BFD5D1" w14:textId="77777777" w:rsidR="00BC24B1" w:rsidRPr="00356420" w:rsidRDefault="00BC24B1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F7A72B1" w14:textId="728916E7" w:rsidR="00BC24B1" w:rsidRPr="00356420" w:rsidRDefault="00F727EE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C/2024/5838</w:t>
            </w:r>
          </w:p>
        </w:tc>
      </w:tr>
      <w:tr w:rsidR="0032763A" w:rsidRPr="00356420" w14:paraId="301F016C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930B43" w14:textId="77777777" w:rsidR="00AA354E" w:rsidRPr="00356420" w:rsidRDefault="00AA354E" w:rsidP="00AA35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0E23EC79" w14:textId="77777777" w:rsidR="00AA354E" w:rsidRPr="00356420" w:rsidRDefault="00AA354E" w:rsidP="00AA35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Ühtse Kriisilahendusnõukogu otsus 2021. aasta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 tühistamishagi.</w:t>
            </w:r>
          </w:p>
          <w:p w14:paraId="48AAE32F" w14:textId="4F3EC342" w:rsidR="0032763A" w:rsidRPr="00356420" w:rsidRDefault="0032763A" w:rsidP="00750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DA6B7F" w14:textId="53109BEE" w:rsidR="0032763A" w:rsidRPr="00356420" w:rsidRDefault="00AA354E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T-435/24: 23.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Dexia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7C5AD6C7" w14:textId="77777777" w:rsidR="0032763A" w:rsidRPr="00356420" w:rsidRDefault="0032763A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EE82DC" w14:textId="29A237AD" w:rsidR="0032763A" w:rsidRPr="00356420" w:rsidRDefault="00AA354E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C/2024/5839</w:t>
            </w:r>
          </w:p>
        </w:tc>
      </w:tr>
      <w:tr w:rsidR="0032763A" w:rsidRPr="00356420" w14:paraId="3F8908F9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FFA5A4" w14:textId="77777777" w:rsidR="00AA354E" w:rsidRPr="00356420" w:rsidRDefault="00AA354E" w:rsidP="00AA35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2D6BAB12" w14:textId="4E8261B7" w:rsidR="0032763A" w:rsidRPr="00356420" w:rsidRDefault="00AA354E" w:rsidP="00AA35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8E926E" w14:textId="131E27BD" w:rsidR="0032763A" w:rsidRPr="00356420" w:rsidRDefault="00AA354E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T-436/24: 23.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Löwen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Entertainment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Wazdan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Holding (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Magic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Crown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769444F9" w14:textId="77777777" w:rsidR="0032763A" w:rsidRPr="00356420" w:rsidRDefault="0032763A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26FB72" w14:textId="635986A8" w:rsidR="0032763A" w:rsidRPr="00356420" w:rsidRDefault="00AA354E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C/2024/5840</w:t>
            </w:r>
          </w:p>
        </w:tc>
      </w:tr>
      <w:tr w:rsidR="0032763A" w:rsidRPr="00356420" w14:paraId="418BA0BA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51C18C" w14:textId="77777777" w:rsidR="00287490" w:rsidRPr="00356420" w:rsidRDefault="00287490" w:rsidP="002874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237B0C86" w14:textId="77777777" w:rsidR="00287490" w:rsidRPr="00356420" w:rsidRDefault="00287490" w:rsidP="002874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Ühtse Kriisilahendusnõukogu otsus 2021. aasta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osamaksete arvutamise kohta tühistamishagi.</w:t>
            </w:r>
          </w:p>
          <w:p w14:paraId="7534D1F5" w14:textId="6AF6BCB9" w:rsidR="0032763A" w:rsidRPr="00356420" w:rsidRDefault="0032763A" w:rsidP="00750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7A14A" w14:textId="0D5068DC" w:rsidR="0032763A" w:rsidRPr="00356420" w:rsidRDefault="00CB5B47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T-437/24: 23.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Landesbank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Baden-Württemberg versus SRB</w:t>
              </w:r>
            </w:hyperlink>
          </w:p>
          <w:p w14:paraId="50A33BF8" w14:textId="77777777" w:rsidR="0032763A" w:rsidRPr="00356420" w:rsidRDefault="0032763A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4079C1" w14:textId="52704C19" w:rsidR="0032763A" w:rsidRPr="00356420" w:rsidRDefault="00CB5B47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C/2024/5841</w:t>
            </w:r>
          </w:p>
        </w:tc>
      </w:tr>
      <w:tr w:rsidR="0032763A" w:rsidRPr="00356420" w14:paraId="4150A7CC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1FEF72" w14:textId="77777777" w:rsidR="00CB5B47" w:rsidRPr="00356420" w:rsidRDefault="00CB5B47" w:rsidP="00CB5B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4A319EA9" w14:textId="77777777" w:rsidR="00CB5B47" w:rsidRPr="00356420" w:rsidRDefault="00CB5B47" w:rsidP="00CB5B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Ühtse Kriisilahendusnõukogu otsus 2021. aasta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 tühistamishagi.</w:t>
            </w:r>
          </w:p>
          <w:p w14:paraId="7157B4B8" w14:textId="6FB1A03E" w:rsidR="0032763A" w:rsidRPr="00356420" w:rsidRDefault="0032763A" w:rsidP="00750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BCDB66" w14:textId="087CCC2E" w:rsidR="0032763A" w:rsidRPr="00356420" w:rsidRDefault="00CB5B47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T-438/24: 23.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Bayerische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Landesbank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0439A8E8" w14:textId="77777777" w:rsidR="0032763A" w:rsidRPr="00356420" w:rsidRDefault="0032763A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117F62" w14:textId="3B8EC894" w:rsidR="0032763A" w:rsidRPr="00356420" w:rsidRDefault="00CB5B47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C/2024/5842</w:t>
            </w:r>
          </w:p>
        </w:tc>
      </w:tr>
      <w:tr w:rsidR="0032763A" w:rsidRPr="00356420" w14:paraId="6C7E25B4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9E916F" w14:textId="77777777" w:rsidR="00CB5B47" w:rsidRPr="00356420" w:rsidRDefault="00CB5B47" w:rsidP="00CB5B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B3E27A9" w14:textId="77777777" w:rsidR="00CB5B47" w:rsidRPr="00356420" w:rsidRDefault="00CB5B47" w:rsidP="00CB5B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Ühtse Kriisilahendusnõukogu otsus 2021. aasta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 tühistamishagi.</w:t>
            </w:r>
          </w:p>
          <w:p w14:paraId="55BCB960" w14:textId="6CA0A6B6" w:rsidR="0032763A" w:rsidRPr="00356420" w:rsidRDefault="0032763A" w:rsidP="00750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20753C" w14:textId="3AB39021" w:rsidR="0032763A" w:rsidRPr="00356420" w:rsidRDefault="00CB5B47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T-439/24: 23. augustil 2024 esitatud hagi – DZ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2C3E6513" w14:textId="77777777" w:rsidR="0032763A" w:rsidRPr="00356420" w:rsidRDefault="0032763A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B8616A" w14:textId="4F8B52CD" w:rsidR="0032763A" w:rsidRPr="00356420" w:rsidRDefault="00CB5B47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C/2024/5843</w:t>
            </w:r>
          </w:p>
        </w:tc>
      </w:tr>
      <w:tr w:rsidR="00287490" w:rsidRPr="00356420" w14:paraId="27347071" w14:textId="77777777" w:rsidTr="00750F5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08EA93" w14:textId="77777777" w:rsidR="00CB5B47" w:rsidRPr="00356420" w:rsidRDefault="00CB5B47" w:rsidP="00CB5B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491BE005" w14:textId="77777777" w:rsidR="00CB5B47" w:rsidRPr="00356420" w:rsidRDefault="00CB5B47" w:rsidP="00CB5B4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Ühtse Kriisilahendusnõukogu otsus 2021. aasta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 tühistamishagi.</w:t>
            </w:r>
          </w:p>
          <w:p w14:paraId="3630B4D4" w14:textId="5AABF465" w:rsidR="00287490" w:rsidRPr="00356420" w:rsidRDefault="00287490" w:rsidP="00750F5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95FC6A" w14:textId="66ED311B" w:rsidR="00287490" w:rsidRPr="00356420" w:rsidRDefault="00CB5B47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T-440/24: 23.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Landesbank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Hessen-Thüringen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Girozentrale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6601285A" w14:textId="77777777" w:rsidR="00287490" w:rsidRPr="00356420" w:rsidRDefault="00287490" w:rsidP="00750F5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75E73A" w14:textId="1596F118" w:rsidR="00287490" w:rsidRPr="00356420" w:rsidRDefault="00CB5B47" w:rsidP="00750F5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C/2024/5844</w:t>
            </w:r>
          </w:p>
        </w:tc>
      </w:tr>
      <w:tr w:rsidR="00B75B43" w:rsidRPr="00356420" w14:paraId="42643AD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10F5A" w14:textId="77777777" w:rsidR="00B75B43" w:rsidRPr="00356420" w:rsidRDefault="00B75B43" w:rsidP="009E0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1966EF73" w14:textId="77777777" w:rsidR="00B75B43" w:rsidRPr="00356420" w:rsidRDefault="00B75B43" w:rsidP="009E0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Ühtse Kriisilahendusnõukogu otsus 2021. aasta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 tühistamishagi.</w:t>
            </w:r>
          </w:p>
          <w:p w14:paraId="1CFCDD14" w14:textId="77777777" w:rsidR="00B75B43" w:rsidRPr="00356420" w:rsidRDefault="00B75B43" w:rsidP="009E0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BA1AFD" w14:textId="48E55ECC" w:rsidR="00B75B43" w:rsidRPr="00356420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T-441/24: 23.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Deutsche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Kreditbank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1DAA23C5" w14:textId="77777777" w:rsidR="00B75B43" w:rsidRPr="00356420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2AF776" w14:textId="69D7F1CC" w:rsidR="00B75B43" w:rsidRPr="00356420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C/2024/5845</w:t>
            </w:r>
          </w:p>
        </w:tc>
      </w:tr>
      <w:tr w:rsidR="00B75B43" w:rsidRPr="00356420" w14:paraId="4C1922B2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3E478C7" w14:textId="77777777" w:rsidR="00B75B43" w:rsidRPr="00356420" w:rsidRDefault="00B75B43" w:rsidP="00B75B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7EFA4387" w14:textId="77777777" w:rsidR="00B75B43" w:rsidRPr="00356420" w:rsidRDefault="00B75B43" w:rsidP="00B75B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Ühtse Kriisilahendusnõukogu otsus 2021. aasta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osamaksete arvutamise kohta tühistamishagi.</w:t>
            </w:r>
          </w:p>
          <w:p w14:paraId="352087E4" w14:textId="12FE0766" w:rsidR="00B75B43" w:rsidRPr="00356420" w:rsidRDefault="00B75B43" w:rsidP="009E0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09FE36" w14:textId="019B93A4" w:rsidR="00B75B43" w:rsidRPr="00356420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T-442/24: 26. augustil 2024 esitatud hagi – DZ 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Bank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666A22ED" w14:textId="77777777" w:rsidR="00B75B43" w:rsidRPr="00356420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CAB89D" w14:textId="79CEF0EF" w:rsidR="00B75B43" w:rsidRPr="00356420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C/2024/5846</w:t>
            </w:r>
          </w:p>
        </w:tc>
      </w:tr>
      <w:tr w:rsidR="00B75B43" w:rsidRPr="00356420" w14:paraId="41A6B3C4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AA503A" w14:textId="77777777" w:rsidR="00B75B43" w:rsidRPr="00356420" w:rsidRDefault="00B75B43" w:rsidP="00B75B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6C340F8" w14:textId="20D46111" w:rsidR="00B75B43" w:rsidRPr="00356420" w:rsidRDefault="00B75B43" w:rsidP="00B75B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A030E6" w14:textId="774CEFEF" w:rsidR="00B75B43" w:rsidRPr="00356420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T-443/24: 23. augustil 2024 esitatud hagi – ECE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Group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ECE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Logistics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(ECE LOGISTICS)</w:t>
              </w:r>
            </w:hyperlink>
          </w:p>
          <w:p w14:paraId="2B80DA59" w14:textId="77777777" w:rsidR="00B75B43" w:rsidRPr="00356420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45464D" w14:textId="0EDCB0F1" w:rsidR="00B75B43" w:rsidRPr="00356420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C/2024/5847</w:t>
            </w:r>
          </w:p>
        </w:tc>
      </w:tr>
      <w:tr w:rsidR="00B75B43" w:rsidRPr="00356420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4B3E18" w14:textId="77777777" w:rsidR="00B75B43" w:rsidRPr="00356420" w:rsidRDefault="00B75B43" w:rsidP="009E0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899FB07" w14:textId="77777777" w:rsidR="00B75B43" w:rsidRPr="00356420" w:rsidRDefault="00B75B43" w:rsidP="009E0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40335A" w14:textId="2EB5159F" w:rsidR="00B75B43" w:rsidRPr="00356420" w:rsidRDefault="00FC4409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T-444/24: 23.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Montres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Tudor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(1926)</w:t>
              </w:r>
            </w:hyperlink>
          </w:p>
          <w:p w14:paraId="17FEEE8C" w14:textId="77777777" w:rsidR="00B75B43" w:rsidRPr="00356420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7AF934AE" w:rsidR="00B75B43" w:rsidRPr="00356420" w:rsidRDefault="00FC4409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C/2024/5848</w:t>
            </w:r>
          </w:p>
        </w:tc>
      </w:tr>
      <w:tr w:rsidR="00B75B43" w:rsidRPr="00356420" w14:paraId="02704318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0C0A93" w14:textId="2B0B19BC" w:rsidR="00FC4409" w:rsidRPr="00356420" w:rsidRDefault="00FC4409" w:rsidP="00FC440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65A54062" w14:textId="77777777" w:rsidR="00B75B43" w:rsidRPr="00356420" w:rsidRDefault="00FC4409" w:rsidP="00FC440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meetmeid seoses Venemaa tegevusega, mis destabiliseerib olukorda Ukrainas, tühistamishagi.</w:t>
            </w:r>
          </w:p>
          <w:p w14:paraId="32C8565F" w14:textId="021B1FF2" w:rsidR="00FC4409" w:rsidRPr="00356420" w:rsidRDefault="00FC4409" w:rsidP="00FC440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AA6376E" w14:textId="21F919D5" w:rsidR="00B75B43" w:rsidRPr="00356420" w:rsidRDefault="00FC4409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T-446/24: 24. augustil 2024 esitatud hagi – EV jt versus nõukogu</w:t>
              </w:r>
            </w:hyperlink>
          </w:p>
          <w:p w14:paraId="65A94449" w14:textId="77777777" w:rsidR="00B75B43" w:rsidRPr="00356420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AD8FBE" w14:textId="4AC81D4C" w:rsidR="00B75B43" w:rsidRPr="00356420" w:rsidRDefault="00FC4409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C/2024/5849</w:t>
            </w:r>
          </w:p>
        </w:tc>
      </w:tr>
      <w:tr w:rsidR="00B75B43" w:rsidRPr="00356420" w14:paraId="33E2D3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D276EF" w14:textId="77777777" w:rsidR="00FC4409" w:rsidRPr="00356420" w:rsidRDefault="00FC4409" w:rsidP="00FC440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5345B6B4" w14:textId="77777777" w:rsidR="00B75B43" w:rsidRPr="00356420" w:rsidRDefault="00FC4409" w:rsidP="009E0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Ühtse Kriisilahendusnõukogu otsus 2021. aasta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ex</w:t>
            </w:r>
            <w:proofErr w:type="spellEnd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6420">
              <w:rPr>
                <w:rFonts w:ascii="Times New Roman" w:hAnsi="Times New Roman" w:cs="Times New Roman"/>
                <w:i/>
                <w:color w:val="444444"/>
                <w:sz w:val="24"/>
                <w:szCs w:val="24"/>
                <w:shd w:val="clear" w:color="auto" w:fill="FFFFFF"/>
              </w:rPr>
              <w:t>ante</w:t>
            </w:r>
            <w:proofErr w:type="spellEnd"/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35642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osamaksete arvutamise kohta tühistamishagi.</w:t>
            </w:r>
          </w:p>
          <w:p w14:paraId="24454271" w14:textId="737464A3" w:rsidR="00FC4409" w:rsidRPr="00356420" w:rsidRDefault="00FC4409" w:rsidP="009E0EB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12C06C" w14:textId="40EAB43F" w:rsidR="00B75B43" w:rsidRPr="00356420" w:rsidRDefault="00FC4409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T-447/24: 26. augustil 2024 esitatud hagi – DZ 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Hyp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SRB</w:t>
              </w:r>
            </w:hyperlink>
          </w:p>
          <w:p w14:paraId="3A6C9AC5" w14:textId="77777777" w:rsidR="00B75B43" w:rsidRPr="00356420" w:rsidRDefault="00B75B43" w:rsidP="009E0EB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7A3F7F" w14:textId="03B81AA0" w:rsidR="00B75B43" w:rsidRPr="00356420" w:rsidRDefault="00FC4409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C/2024/585</w:t>
            </w:r>
            <w:r w:rsidR="00B75B43"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B75B43" w:rsidRPr="00356420" w14:paraId="024133D4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6084D2F" w14:textId="77777777" w:rsidR="00FC4409" w:rsidRPr="00356420" w:rsidRDefault="00FC4409" w:rsidP="00FC440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1E32EDDC" w14:textId="4785CF74" w:rsidR="00B75B43" w:rsidRPr="00356420" w:rsidRDefault="00FC4409" w:rsidP="00FC440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56420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29ED4D" w14:textId="033A9AAA" w:rsidR="00B75B43" w:rsidRPr="00356420" w:rsidRDefault="00FC4409" w:rsidP="0035642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T-448/24: 27. augustil 2024 esitatud hagi –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JSherwood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INA International (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JSherWood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wear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it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with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pride</w:t>
              </w:r>
              <w:proofErr w:type="spellEnd"/>
              <w:r w:rsidRPr="0035642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819BC2" w14:textId="465FDE4A" w:rsidR="00B75B43" w:rsidRPr="00356420" w:rsidRDefault="00FC4409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35642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C/2024/5851</w:t>
            </w:r>
          </w:p>
        </w:tc>
      </w:tr>
    </w:tbl>
    <w:p w14:paraId="2B551D8B" w14:textId="6E7A9F32" w:rsidR="00AF24CC" w:rsidRPr="00356420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356420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20050"/>
    <w:rsid w:val="0002053A"/>
    <w:rsid w:val="000208FC"/>
    <w:rsid w:val="00022EF0"/>
    <w:rsid w:val="0002361C"/>
    <w:rsid w:val="00024646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42C6"/>
    <w:rsid w:val="000F48AE"/>
    <w:rsid w:val="000F53D0"/>
    <w:rsid w:val="000F5BF6"/>
    <w:rsid w:val="000F686F"/>
    <w:rsid w:val="000F69D2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00C3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6D40"/>
    <w:rsid w:val="0038747D"/>
    <w:rsid w:val="0038781F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E8"/>
    <w:rsid w:val="003B711B"/>
    <w:rsid w:val="003B7129"/>
    <w:rsid w:val="003B756D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27E"/>
    <w:rsid w:val="00652FB9"/>
    <w:rsid w:val="00654C2A"/>
    <w:rsid w:val="00655050"/>
    <w:rsid w:val="006554B2"/>
    <w:rsid w:val="0065626A"/>
    <w:rsid w:val="00656EF1"/>
    <w:rsid w:val="006572A0"/>
    <w:rsid w:val="0065797A"/>
    <w:rsid w:val="00657D4C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C31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EC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648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DBD"/>
    <w:rsid w:val="00DD248D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54E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5826" TargetMode="External"/><Relationship Id="rId13" Type="http://schemas.openxmlformats.org/officeDocument/2006/relationships/hyperlink" Target="https://eur-lex.europa.eu/legal-content/ET/TXT/?uri=OJ:C_202405832" TargetMode="External"/><Relationship Id="rId18" Type="http://schemas.openxmlformats.org/officeDocument/2006/relationships/hyperlink" Target="https://eur-lex.europa.eu/legal-content/ET/TXT/?uri=OJ:C_202405839" TargetMode="External"/><Relationship Id="rId26" Type="http://schemas.openxmlformats.org/officeDocument/2006/relationships/hyperlink" Target="https://eur-lex.europa.eu/legal-content/ET/TXT/?uri=OJ:C_20240584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405842" TargetMode="External"/><Relationship Id="rId7" Type="http://schemas.openxmlformats.org/officeDocument/2006/relationships/hyperlink" Target="https://eur-lex.europa.eu/legal-content/ET/TXT/?uri=OJ:C_202405792" TargetMode="External"/><Relationship Id="rId12" Type="http://schemas.openxmlformats.org/officeDocument/2006/relationships/hyperlink" Target="https://eur-lex.europa.eu/legal-content/ET/TXT/?uri=OJ:C_202405831" TargetMode="External"/><Relationship Id="rId17" Type="http://schemas.openxmlformats.org/officeDocument/2006/relationships/hyperlink" Target="https://eur-lex.europa.eu/legal-content/ET/TXT/?uri=OJ:C_202405838" TargetMode="External"/><Relationship Id="rId25" Type="http://schemas.openxmlformats.org/officeDocument/2006/relationships/hyperlink" Target="https://eur-lex.europa.eu/legal-content/ET/TXT/?uri=OJ:C_2024058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5836" TargetMode="External"/><Relationship Id="rId20" Type="http://schemas.openxmlformats.org/officeDocument/2006/relationships/hyperlink" Target="https://eur-lex.europa.eu/legal-content/ET/TXT/?uri=OJ:C_202405841" TargetMode="External"/><Relationship Id="rId29" Type="http://schemas.openxmlformats.org/officeDocument/2006/relationships/hyperlink" Target="https://eur-lex.europa.eu/legal-content/ET/TXT/?uri=OJ:C_2024058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5791" TargetMode="External"/><Relationship Id="rId11" Type="http://schemas.openxmlformats.org/officeDocument/2006/relationships/hyperlink" Target="https://eur-lex.europa.eu/legal-content/ET/TXT/?uri=OJ:C_202405830" TargetMode="External"/><Relationship Id="rId24" Type="http://schemas.openxmlformats.org/officeDocument/2006/relationships/hyperlink" Target="https://eur-lex.europa.eu/legal-content/ET/TXT/?uri=OJ:C_202405845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5834" TargetMode="External"/><Relationship Id="rId23" Type="http://schemas.openxmlformats.org/officeDocument/2006/relationships/hyperlink" Target="https://eur-lex.europa.eu/legal-content/ET/TXT/?uri=OJ:C_202405844" TargetMode="External"/><Relationship Id="rId28" Type="http://schemas.openxmlformats.org/officeDocument/2006/relationships/hyperlink" Target="https://eur-lex.europa.eu/legal-content/ET/TXT/?uri=OJ:C_202405849" TargetMode="External"/><Relationship Id="rId10" Type="http://schemas.openxmlformats.org/officeDocument/2006/relationships/hyperlink" Target="https://eur-lex.europa.eu/legal-content/ET/TXT/?uri=OJ:C_202405829" TargetMode="External"/><Relationship Id="rId19" Type="http://schemas.openxmlformats.org/officeDocument/2006/relationships/hyperlink" Target="https://eur-lex.europa.eu/legal-content/ET/TXT/?uri=OJ:C_20240584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5828" TargetMode="External"/><Relationship Id="rId14" Type="http://schemas.openxmlformats.org/officeDocument/2006/relationships/hyperlink" Target="https://eur-lex.europa.eu/legal-content/ET/TXT/?uri=OJ:C_202405833" TargetMode="External"/><Relationship Id="rId22" Type="http://schemas.openxmlformats.org/officeDocument/2006/relationships/hyperlink" Target="https://eur-lex.europa.eu/legal-content/ET/TXT/?uri=OJ:C_202405843" TargetMode="External"/><Relationship Id="rId27" Type="http://schemas.openxmlformats.org/officeDocument/2006/relationships/hyperlink" Target="https://eur-lex.europa.eu/legal-content/ET/TXT/?uri=OJ:C_202405848" TargetMode="External"/><Relationship Id="rId30" Type="http://schemas.openxmlformats.org/officeDocument/2006/relationships/hyperlink" Target="https://eur-lex.europa.eu/legal-content/ET/TXT/?uri=OJ:C_202405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55C1-61A4-40E9-A453-D621FCB2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1089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80</cp:revision>
  <cp:lastPrinted>2018-01-31T14:27:00Z</cp:lastPrinted>
  <dcterms:created xsi:type="dcterms:W3CDTF">2024-07-16T07:54:00Z</dcterms:created>
  <dcterms:modified xsi:type="dcterms:W3CDTF">2024-10-08T12:06:00Z</dcterms:modified>
</cp:coreProperties>
</file>